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FD305" w14:textId="6439B8BD" w:rsidR="00D356D2" w:rsidRDefault="00C92901" w:rsidP="00C92901">
      <w:pPr>
        <w:spacing w:line="360" w:lineRule="auto"/>
      </w:pPr>
      <w:r>
        <w:rPr>
          <w:noProof/>
        </w:rPr>
        <w:drawing>
          <wp:inline distT="0" distB="0" distL="0" distR="0" wp14:anchorId="4CF211E4" wp14:editId="06FC82EC">
            <wp:extent cx="5274310" cy="5912485"/>
            <wp:effectExtent l="0" t="0" r="2540" b="0"/>
            <wp:docPr id="59953414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534146" name="图片 599534146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912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DB91A1" w14:textId="07598E38" w:rsidR="00750BA0" w:rsidRDefault="00750BA0" w:rsidP="00750BA0">
      <w:pPr>
        <w:spacing w:line="360" w:lineRule="auto"/>
      </w:pPr>
      <w:r w:rsidRPr="00E13D4F">
        <w:rPr>
          <w:rFonts w:ascii="Times New Roman" w:hAnsi="Times New Roman" w:cs="Times New Roman"/>
          <w:b/>
          <w:bCs/>
          <w:sz w:val="24"/>
          <w:szCs w:val="24"/>
        </w:rPr>
        <w:t>Supplementary Fig</w:t>
      </w:r>
      <w:r w:rsidRPr="00E13D4F"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.1. Heterogeneity analyses of </w:t>
      </w:r>
      <w:r w:rsidR="001F3728" w:rsidRPr="00E13D4F">
        <w:rPr>
          <w:rFonts w:ascii="Times New Roman" w:hAnsi="Times New Roman" w:cs="Times New Roman"/>
          <w:b/>
          <w:bCs/>
          <w:sz w:val="24"/>
          <w:szCs w:val="24"/>
        </w:rPr>
        <w:t>ORR</w:t>
      </w:r>
      <w:r w:rsidR="001F3728" w:rsidRPr="00E13D4F"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 (A) and DCR (B). </w:t>
      </w:r>
      <w:r w:rsidR="001F3728" w:rsidRPr="001F3728">
        <w:rPr>
          <w:rFonts w:ascii="Times New Roman" w:hAnsi="Times New Roman" w:cs="Times New Roman"/>
          <w:sz w:val="24"/>
          <w:szCs w:val="24"/>
        </w:rPr>
        <w:t>Abbreviations: ORR, Objective remission rate ; DCR, Disease control rate</w:t>
      </w:r>
      <w:r w:rsidR="00D16C07">
        <w:rPr>
          <w:rFonts w:ascii="Times New Roman" w:hAnsi="Times New Roman" w:cs="Times New Roman" w:hint="eastAsia"/>
          <w:sz w:val="24"/>
          <w:szCs w:val="24"/>
        </w:rPr>
        <w:t xml:space="preserve">; </w:t>
      </w:r>
      <w:r w:rsidR="000E14B9">
        <w:rPr>
          <w:rFonts w:ascii="Times New Roman" w:hAnsi="Times New Roman" w:cs="Times New Roman" w:hint="eastAsia"/>
          <w:sz w:val="24"/>
          <w:szCs w:val="24"/>
        </w:rPr>
        <w:t>IV</w:t>
      </w:r>
      <w:r w:rsidR="00D16C07" w:rsidRPr="00D16C07">
        <w:rPr>
          <w:rFonts w:ascii="Times New Roman" w:hAnsi="Times New Roman" w:cs="Times New Roman"/>
          <w:sz w:val="24"/>
          <w:szCs w:val="24"/>
        </w:rPr>
        <w:t xml:space="preserve">, </w:t>
      </w:r>
      <w:r w:rsidR="00053E4D" w:rsidRPr="00053E4D">
        <w:rPr>
          <w:rFonts w:ascii="Times New Roman" w:hAnsi="Times New Roman" w:cs="Times New Roman"/>
          <w:sz w:val="24"/>
          <w:szCs w:val="24"/>
        </w:rPr>
        <w:t>Inverse Variance</w:t>
      </w:r>
      <w:r w:rsidR="003E0994">
        <w:rPr>
          <w:rFonts w:ascii="Times New Roman" w:hAnsi="Times New Roman" w:cs="Times New Roman" w:hint="eastAsia"/>
          <w:sz w:val="24"/>
          <w:szCs w:val="24"/>
        </w:rPr>
        <w:t xml:space="preserve">; </w:t>
      </w:r>
      <w:r w:rsidR="003E0994" w:rsidRPr="003E0994">
        <w:rPr>
          <w:rFonts w:ascii="Times New Roman" w:hAnsi="Times New Roman" w:cs="Times New Roman"/>
          <w:sz w:val="24"/>
          <w:szCs w:val="24"/>
        </w:rPr>
        <w:t>RAS</w:t>
      </w:r>
      <w:r w:rsidR="003E0994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="003E0994" w:rsidRPr="003E0994">
        <w:rPr>
          <w:rFonts w:ascii="Times New Roman" w:hAnsi="Times New Roman" w:cs="Times New Roman"/>
          <w:sz w:val="24"/>
          <w:szCs w:val="24"/>
        </w:rPr>
        <w:t>Rat</w:t>
      </w:r>
      <w:r w:rsidR="003E0994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="003E0994" w:rsidRPr="003E0994">
        <w:rPr>
          <w:rFonts w:ascii="Times New Roman" w:hAnsi="Times New Roman" w:cs="Times New Roman"/>
          <w:sz w:val="24"/>
          <w:szCs w:val="24"/>
        </w:rPr>
        <w:t>sarcom</w:t>
      </w:r>
      <w:proofErr w:type="spellEnd"/>
      <w:r w:rsidR="003E0994">
        <w:rPr>
          <w:rFonts w:ascii="Times New Roman" w:hAnsi="Times New Roman" w:cs="Times New Roman" w:hint="eastAsia"/>
          <w:sz w:val="24"/>
          <w:szCs w:val="24"/>
        </w:rPr>
        <w:t>; WT, W</w:t>
      </w:r>
      <w:r w:rsidR="003E0994" w:rsidRPr="003E0994">
        <w:rPr>
          <w:rFonts w:ascii="Times New Roman" w:hAnsi="Times New Roman" w:cs="Times New Roman"/>
          <w:sz w:val="24"/>
          <w:szCs w:val="24"/>
        </w:rPr>
        <w:t>ildtype</w:t>
      </w:r>
      <w:r w:rsidR="003E0994">
        <w:rPr>
          <w:rFonts w:ascii="Times New Roman" w:hAnsi="Times New Roman" w:cs="Times New Roman" w:hint="eastAsia"/>
          <w:sz w:val="24"/>
          <w:szCs w:val="24"/>
        </w:rPr>
        <w:t>.</w:t>
      </w:r>
    </w:p>
    <w:p w14:paraId="4147A32D" w14:textId="77777777" w:rsidR="00C92901" w:rsidRDefault="00C92901" w:rsidP="00C92901">
      <w:pPr>
        <w:spacing w:line="360" w:lineRule="auto"/>
      </w:pPr>
    </w:p>
    <w:p w14:paraId="16F6B1EF" w14:textId="66666BE0" w:rsidR="00DE4B45" w:rsidRDefault="00DE4B45" w:rsidP="00C92901">
      <w:pPr>
        <w:spacing w:line="360" w:lineRule="auto"/>
      </w:pPr>
      <w:r>
        <w:rPr>
          <w:rFonts w:hint="eastAsia"/>
          <w:noProof/>
        </w:rPr>
        <w:lastRenderedPageBreak/>
        <w:drawing>
          <wp:inline distT="0" distB="0" distL="0" distR="0" wp14:anchorId="02456412" wp14:editId="49D55CB7">
            <wp:extent cx="5274310" cy="2898140"/>
            <wp:effectExtent l="0" t="0" r="2540" b="0"/>
            <wp:docPr id="47106209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062098" name="图片 47106209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E4E686" w14:textId="396AFBFC" w:rsidR="00DE4B45" w:rsidRPr="00BE771C" w:rsidRDefault="00DE4B45" w:rsidP="00DE4B4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13D4F">
        <w:rPr>
          <w:rFonts w:ascii="Times New Roman" w:hAnsi="Times New Roman" w:cs="Times New Roman"/>
          <w:b/>
          <w:bCs/>
          <w:sz w:val="24"/>
          <w:szCs w:val="24"/>
        </w:rPr>
        <w:t>Supplementary Fig</w:t>
      </w:r>
      <w:r w:rsidRPr="00E13D4F">
        <w:rPr>
          <w:rFonts w:ascii="Times New Roman" w:hAnsi="Times New Roman" w:cs="Times New Roman" w:hint="eastAsia"/>
          <w:b/>
          <w:bCs/>
          <w:sz w:val="24"/>
          <w:szCs w:val="24"/>
        </w:rPr>
        <w:t>.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2</w:t>
      </w:r>
      <w:r w:rsidRPr="00E13D4F"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. </w:t>
      </w:r>
      <w:r w:rsidR="009A7624">
        <w:rPr>
          <w:rFonts w:ascii="Times New Roman" w:hAnsi="Times New Roman" w:cs="Times New Roman" w:hint="eastAsia"/>
          <w:b/>
          <w:bCs/>
          <w:sz w:val="24"/>
          <w:szCs w:val="24"/>
        </w:rPr>
        <w:t>Pooled</w:t>
      </w:r>
      <w:r w:rsidRPr="00E13D4F"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 analyses of </w:t>
      </w:r>
      <w:r w:rsidRPr="00E13D4F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D271FD">
        <w:rPr>
          <w:rFonts w:ascii="Times New Roman" w:hAnsi="Times New Roman" w:cs="Times New Roman" w:hint="eastAsia"/>
          <w:b/>
          <w:bCs/>
          <w:sz w:val="24"/>
          <w:szCs w:val="24"/>
        </w:rPr>
        <w:t>S</w:t>
      </w:r>
      <w:r w:rsidRPr="00E13D4F"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. </w:t>
      </w:r>
      <w:r w:rsidR="00BE771C">
        <w:rPr>
          <w:rFonts w:ascii="Times New Roman" w:hAnsi="Times New Roman" w:cs="Times New Roman" w:hint="eastAsia"/>
          <w:sz w:val="24"/>
          <w:szCs w:val="24"/>
        </w:rPr>
        <w:t xml:space="preserve">(A) </w:t>
      </w:r>
      <w:r w:rsidR="00BE771C" w:rsidRPr="00BE771C">
        <w:rPr>
          <w:rFonts w:ascii="Times New Roman" w:hAnsi="Times New Roman" w:cs="Times New Roman"/>
          <w:sz w:val="24"/>
          <w:szCs w:val="24"/>
        </w:rPr>
        <w:t>Summary of the results of the remaining studies after excluding Cunningham 2004 [</w:t>
      </w:r>
      <w:r w:rsidR="00107A2A">
        <w:rPr>
          <w:rFonts w:ascii="Times New Roman" w:hAnsi="Times New Roman" w:cs="Times New Roman"/>
          <w:sz w:val="24"/>
          <w:szCs w:val="24"/>
        </w:rPr>
        <w:t>3</w:t>
      </w:r>
      <w:r w:rsidR="00BE771C" w:rsidRPr="00BE771C">
        <w:rPr>
          <w:rFonts w:ascii="Times New Roman" w:hAnsi="Times New Roman" w:cs="Times New Roman"/>
          <w:sz w:val="24"/>
          <w:szCs w:val="24"/>
        </w:rPr>
        <w:t>]</w:t>
      </w:r>
      <w:r w:rsidR="00BE771C">
        <w:rPr>
          <w:rFonts w:ascii="Times New Roman" w:hAnsi="Times New Roman" w:cs="Times New Roman" w:hint="eastAsia"/>
          <w:sz w:val="24"/>
          <w:szCs w:val="24"/>
        </w:rPr>
        <w:t xml:space="preserve">. (B) </w:t>
      </w:r>
      <w:r w:rsidR="00BE771C" w:rsidRPr="00BE771C">
        <w:rPr>
          <w:rFonts w:ascii="Times New Roman" w:hAnsi="Times New Roman" w:cs="Times New Roman"/>
          <w:sz w:val="24"/>
          <w:szCs w:val="24"/>
        </w:rPr>
        <w:t xml:space="preserve">Summary of the results of the remaining studies after excluding </w:t>
      </w:r>
      <w:proofErr w:type="spellStart"/>
      <w:r w:rsidR="008C44FD" w:rsidRPr="008C44FD">
        <w:rPr>
          <w:rFonts w:ascii="Times New Roman" w:hAnsi="Times New Roman" w:cs="Times New Roman"/>
          <w:sz w:val="24"/>
          <w:szCs w:val="24"/>
        </w:rPr>
        <w:t>Segelov</w:t>
      </w:r>
      <w:proofErr w:type="spellEnd"/>
      <w:r w:rsidR="008C44FD" w:rsidRPr="008C44FD">
        <w:rPr>
          <w:rFonts w:ascii="Times New Roman" w:hAnsi="Times New Roman" w:cs="Times New Roman"/>
          <w:sz w:val="24"/>
          <w:szCs w:val="24"/>
        </w:rPr>
        <w:t xml:space="preserve"> 2016</w:t>
      </w:r>
      <w:r w:rsidR="00BE771C" w:rsidRPr="00BE771C">
        <w:rPr>
          <w:rFonts w:ascii="Times New Roman" w:hAnsi="Times New Roman" w:cs="Times New Roman"/>
          <w:sz w:val="24"/>
          <w:szCs w:val="24"/>
        </w:rPr>
        <w:t xml:space="preserve"> [</w:t>
      </w:r>
      <w:r w:rsidR="00107A2A">
        <w:rPr>
          <w:rFonts w:ascii="Times New Roman" w:hAnsi="Times New Roman" w:cs="Times New Roman"/>
          <w:sz w:val="24"/>
          <w:szCs w:val="24"/>
        </w:rPr>
        <w:t>5</w:t>
      </w:r>
      <w:r w:rsidR="00BE771C" w:rsidRPr="00BE771C">
        <w:rPr>
          <w:rFonts w:ascii="Times New Roman" w:hAnsi="Times New Roman" w:cs="Times New Roman"/>
          <w:sz w:val="24"/>
          <w:szCs w:val="24"/>
        </w:rPr>
        <w:t>]</w:t>
      </w:r>
      <w:r w:rsidR="00BE771C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Pr="001F3728">
        <w:rPr>
          <w:rFonts w:ascii="Times New Roman" w:hAnsi="Times New Roman" w:cs="Times New Roman"/>
          <w:sz w:val="24"/>
          <w:szCs w:val="24"/>
        </w:rPr>
        <w:t xml:space="preserve">Abbreviations: </w:t>
      </w:r>
      <w:r w:rsidR="00C3136D" w:rsidRPr="00C3136D">
        <w:rPr>
          <w:rFonts w:ascii="Times New Roman" w:hAnsi="Times New Roman" w:cs="Times New Roman"/>
          <w:sz w:val="24"/>
          <w:szCs w:val="24"/>
        </w:rPr>
        <w:t>OS, Overall survival</w:t>
      </w:r>
      <w:r w:rsidR="000507E6">
        <w:rPr>
          <w:rFonts w:ascii="Times New Roman" w:hAnsi="Times New Roman" w:cs="Times New Roman" w:hint="eastAsia"/>
          <w:sz w:val="24"/>
          <w:szCs w:val="24"/>
        </w:rPr>
        <w:t>; IV</w:t>
      </w:r>
      <w:r w:rsidR="000507E6" w:rsidRPr="00D16C07">
        <w:rPr>
          <w:rFonts w:ascii="Times New Roman" w:hAnsi="Times New Roman" w:cs="Times New Roman"/>
          <w:sz w:val="24"/>
          <w:szCs w:val="24"/>
        </w:rPr>
        <w:t xml:space="preserve">, </w:t>
      </w:r>
      <w:r w:rsidR="000507E6" w:rsidRPr="00053E4D">
        <w:rPr>
          <w:rFonts w:ascii="Times New Roman" w:hAnsi="Times New Roman" w:cs="Times New Roman"/>
          <w:sz w:val="24"/>
          <w:szCs w:val="24"/>
        </w:rPr>
        <w:t>Inverse Variance</w:t>
      </w:r>
      <w:r w:rsidR="000507E6">
        <w:rPr>
          <w:rFonts w:ascii="Times New Roman" w:hAnsi="Times New Roman" w:cs="Times New Roman" w:hint="eastAsia"/>
          <w:sz w:val="24"/>
          <w:szCs w:val="24"/>
        </w:rPr>
        <w:t>; CI, C</w:t>
      </w:r>
      <w:r w:rsidR="000507E6" w:rsidRPr="000507E6">
        <w:rPr>
          <w:rFonts w:ascii="Times New Roman" w:hAnsi="Times New Roman" w:cs="Times New Roman"/>
          <w:sz w:val="24"/>
          <w:szCs w:val="24"/>
        </w:rPr>
        <w:t>onfidence interval</w:t>
      </w:r>
      <w:r w:rsidRPr="001F3728">
        <w:rPr>
          <w:rFonts w:ascii="Times New Roman" w:hAnsi="Times New Roman" w:cs="Times New Roman"/>
          <w:sz w:val="24"/>
          <w:szCs w:val="24"/>
        </w:rPr>
        <w:t>.</w:t>
      </w:r>
    </w:p>
    <w:p w14:paraId="66F21B27" w14:textId="702FC58A" w:rsidR="00DE4B45" w:rsidRDefault="00DE4B45" w:rsidP="00C92901">
      <w:pPr>
        <w:spacing w:line="360" w:lineRule="auto"/>
      </w:pPr>
    </w:p>
    <w:p w14:paraId="7F78B903" w14:textId="06A3170A" w:rsidR="008C44FD" w:rsidRDefault="00644F9E" w:rsidP="0064514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4F9E">
        <w:rPr>
          <w:rFonts w:ascii="Times New Roman" w:hAnsi="Times New Roman" w:cs="Times New Roman"/>
          <w:sz w:val="24"/>
          <w:szCs w:val="24"/>
        </w:rPr>
        <w:t>References</w:t>
      </w:r>
    </w:p>
    <w:p w14:paraId="2DEC6C77" w14:textId="6C364B85" w:rsidR="00E85BB2" w:rsidRPr="008F7B17" w:rsidRDefault="00E85BB2" w:rsidP="00E85BB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85BB2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85BB2">
        <w:rPr>
          <w:rFonts w:ascii="Times New Roman" w:hAnsi="Times New Roman" w:cs="Times New Roman"/>
          <w:sz w:val="24"/>
          <w:szCs w:val="24"/>
        </w:rPr>
        <w:t xml:space="preserve">] Pinto C, </w:t>
      </w:r>
      <w:proofErr w:type="spellStart"/>
      <w:r w:rsidRPr="00E85BB2">
        <w:rPr>
          <w:rFonts w:ascii="Times New Roman" w:hAnsi="Times New Roman" w:cs="Times New Roman"/>
          <w:sz w:val="24"/>
          <w:szCs w:val="24"/>
        </w:rPr>
        <w:t>Orlandi</w:t>
      </w:r>
      <w:proofErr w:type="spellEnd"/>
      <w:r w:rsidRPr="00E85BB2">
        <w:rPr>
          <w:rFonts w:ascii="Times New Roman" w:hAnsi="Times New Roman" w:cs="Times New Roman"/>
          <w:sz w:val="24"/>
          <w:szCs w:val="24"/>
        </w:rPr>
        <w:t xml:space="preserve"> A, </w:t>
      </w:r>
      <w:proofErr w:type="spellStart"/>
      <w:r w:rsidRPr="00E85BB2">
        <w:rPr>
          <w:rFonts w:ascii="Times New Roman" w:hAnsi="Times New Roman" w:cs="Times New Roman"/>
          <w:sz w:val="24"/>
          <w:szCs w:val="24"/>
        </w:rPr>
        <w:t>Normanno</w:t>
      </w:r>
      <w:proofErr w:type="spellEnd"/>
      <w:r w:rsidRPr="00E85BB2">
        <w:rPr>
          <w:rFonts w:ascii="Times New Roman" w:hAnsi="Times New Roman" w:cs="Times New Roman"/>
          <w:sz w:val="24"/>
          <w:szCs w:val="24"/>
        </w:rPr>
        <w:t xml:space="preserve"> N, </w:t>
      </w:r>
      <w:proofErr w:type="spellStart"/>
      <w:r w:rsidRPr="00E85BB2">
        <w:rPr>
          <w:rFonts w:ascii="Times New Roman" w:hAnsi="Times New Roman" w:cs="Times New Roman"/>
          <w:sz w:val="24"/>
          <w:szCs w:val="24"/>
        </w:rPr>
        <w:t>Maiello</w:t>
      </w:r>
      <w:proofErr w:type="spellEnd"/>
      <w:r w:rsidRPr="00E85BB2">
        <w:rPr>
          <w:rFonts w:ascii="Times New Roman" w:hAnsi="Times New Roman" w:cs="Times New Roman"/>
          <w:sz w:val="24"/>
          <w:szCs w:val="24"/>
        </w:rPr>
        <w:t xml:space="preserve"> E, </w:t>
      </w:r>
      <w:proofErr w:type="spellStart"/>
      <w:r w:rsidRPr="00E85BB2">
        <w:rPr>
          <w:rFonts w:ascii="Times New Roman" w:hAnsi="Times New Roman" w:cs="Times New Roman"/>
          <w:sz w:val="24"/>
          <w:szCs w:val="24"/>
        </w:rPr>
        <w:t>Calegari</w:t>
      </w:r>
      <w:proofErr w:type="spellEnd"/>
      <w:r w:rsidRPr="00E85BB2">
        <w:rPr>
          <w:rFonts w:ascii="Times New Roman" w:hAnsi="Times New Roman" w:cs="Times New Roman"/>
          <w:sz w:val="24"/>
          <w:szCs w:val="24"/>
        </w:rPr>
        <w:t xml:space="preserve"> MA, </w:t>
      </w:r>
      <w:proofErr w:type="spellStart"/>
      <w:r w:rsidRPr="00E85BB2">
        <w:rPr>
          <w:rFonts w:ascii="Times New Roman" w:hAnsi="Times New Roman" w:cs="Times New Roman"/>
          <w:sz w:val="24"/>
          <w:szCs w:val="24"/>
        </w:rPr>
        <w:t>Antonuzzo</w:t>
      </w:r>
      <w:proofErr w:type="spellEnd"/>
      <w:r w:rsidRPr="00E85BB2">
        <w:rPr>
          <w:rFonts w:ascii="Times New Roman" w:hAnsi="Times New Roman" w:cs="Times New Roman"/>
          <w:sz w:val="24"/>
          <w:szCs w:val="24"/>
        </w:rPr>
        <w:t xml:space="preserve"> L, </w:t>
      </w:r>
      <w:r w:rsidRPr="008F7B17">
        <w:rPr>
          <w:rFonts w:ascii="Times New Roman" w:hAnsi="Times New Roman" w:cs="Times New Roman"/>
          <w:i/>
          <w:iCs/>
          <w:sz w:val="24"/>
          <w:szCs w:val="24"/>
        </w:rPr>
        <w:t>et al</w:t>
      </w:r>
      <w:r w:rsidRPr="00E85BB2">
        <w:rPr>
          <w:rFonts w:ascii="Times New Roman" w:hAnsi="Times New Roman" w:cs="Times New Roman"/>
          <w:sz w:val="24"/>
          <w:szCs w:val="24"/>
        </w:rPr>
        <w:t>. Fluorouracil, Leucovorin, and Irinotecan Plus Cetuximab Versus Cetuximab as Maintenance Therapy in First-Line Therapy for RAS and BRAF Wild-Type Metastatic Colorectal Cancer: Phase III ERMES Study. Journal of Clinical Oncology. 2024; 42: 1278–1</w:t>
      </w:r>
      <w:r w:rsidRPr="008F7B17">
        <w:rPr>
          <w:rFonts w:ascii="Times New Roman" w:hAnsi="Times New Roman" w:cs="Times New Roman"/>
          <w:sz w:val="24"/>
          <w:szCs w:val="24"/>
        </w:rPr>
        <w:t xml:space="preserve">287. </w:t>
      </w:r>
      <w:hyperlink r:id="rId8" w:history="1">
        <w:r w:rsidRPr="008F7B17">
          <w:rPr>
            <w:rStyle w:val="ae"/>
            <w:rFonts w:ascii="Times New Roman" w:hAnsi="Times New Roman" w:cs="Times New Roman"/>
            <w:color w:val="auto"/>
            <w:sz w:val="24"/>
            <w:szCs w:val="24"/>
            <w:u w:val="none"/>
          </w:rPr>
          <w:t>https://doi.org/10.1200/JCO.23.01021</w:t>
        </w:r>
      </w:hyperlink>
      <w:r w:rsidRPr="008F7B17">
        <w:rPr>
          <w:rFonts w:ascii="Times New Roman" w:hAnsi="Times New Roman" w:cs="Times New Roman"/>
          <w:sz w:val="24"/>
          <w:szCs w:val="24"/>
        </w:rPr>
        <w:t>.</w:t>
      </w:r>
    </w:p>
    <w:p w14:paraId="59C48E97" w14:textId="79FC263F" w:rsidR="00E85BB2" w:rsidRPr="00644F9E" w:rsidRDefault="00E85BB2" w:rsidP="00E85BB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85BB2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85BB2">
        <w:rPr>
          <w:rFonts w:ascii="Times New Roman" w:hAnsi="Times New Roman" w:cs="Times New Roman"/>
          <w:sz w:val="24"/>
          <w:szCs w:val="24"/>
        </w:rPr>
        <w:t xml:space="preserve">] Shapiro JD, </w:t>
      </w:r>
      <w:proofErr w:type="spellStart"/>
      <w:r w:rsidRPr="00E85BB2">
        <w:rPr>
          <w:rFonts w:ascii="Times New Roman" w:hAnsi="Times New Roman" w:cs="Times New Roman"/>
          <w:sz w:val="24"/>
          <w:szCs w:val="24"/>
        </w:rPr>
        <w:t>Thavaneswaran</w:t>
      </w:r>
      <w:proofErr w:type="spellEnd"/>
      <w:r w:rsidRPr="00E85BB2">
        <w:rPr>
          <w:rFonts w:ascii="Times New Roman" w:hAnsi="Times New Roman" w:cs="Times New Roman"/>
          <w:sz w:val="24"/>
          <w:szCs w:val="24"/>
        </w:rPr>
        <w:t xml:space="preserve"> S, Underhill CR, Robledo KP, </w:t>
      </w:r>
      <w:proofErr w:type="spellStart"/>
      <w:r w:rsidRPr="00E85BB2">
        <w:rPr>
          <w:rFonts w:ascii="Times New Roman" w:hAnsi="Times New Roman" w:cs="Times New Roman"/>
          <w:sz w:val="24"/>
          <w:szCs w:val="24"/>
        </w:rPr>
        <w:t>Karapetis</w:t>
      </w:r>
      <w:proofErr w:type="spellEnd"/>
      <w:r w:rsidRPr="00E85BB2">
        <w:rPr>
          <w:rFonts w:ascii="Times New Roman" w:hAnsi="Times New Roman" w:cs="Times New Roman"/>
          <w:sz w:val="24"/>
          <w:szCs w:val="24"/>
        </w:rPr>
        <w:t xml:space="preserve"> CS, Day FL, </w:t>
      </w:r>
      <w:r w:rsidRPr="008F7B17">
        <w:rPr>
          <w:rFonts w:ascii="Times New Roman" w:hAnsi="Times New Roman" w:cs="Times New Roman"/>
          <w:i/>
          <w:iCs/>
          <w:sz w:val="24"/>
          <w:szCs w:val="24"/>
        </w:rPr>
        <w:t>et al</w:t>
      </w:r>
      <w:r w:rsidRPr="00E85BB2">
        <w:rPr>
          <w:rFonts w:ascii="Times New Roman" w:hAnsi="Times New Roman" w:cs="Times New Roman"/>
          <w:sz w:val="24"/>
          <w:szCs w:val="24"/>
        </w:rPr>
        <w:t>. Cetuximab Alone or With Irinotecan for Resistant KRAS-, NRAS-, BRAF- and PIK3CA-wild-type Metastatic Colorectal Cancer: The AGITG Randomized Phase II ICECREAM Study. Clinical Colorectal Cancer. 2018; 17: 313–319. https://doi.org/10.1016/j.clcc.2018.06.002.</w:t>
      </w:r>
    </w:p>
    <w:p w14:paraId="2B48988C" w14:textId="6CCF47CD" w:rsidR="008C44FD" w:rsidRDefault="008C44FD" w:rsidP="00C9290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96402">
        <w:rPr>
          <w:rFonts w:ascii="Times New Roman" w:hAnsi="Times New Roman" w:cs="Times New Roman"/>
          <w:sz w:val="24"/>
          <w:szCs w:val="24"/>
        </w:rPr>
        <w:t>[</w:t>
      </w:r>
      <w:r w:rsidR="00E85BB2">
        <w:rPr>
          <w:rFonts w:ascii="Times New Roman" w:hAnsi="Times New Roman" w:cs="Times New Roman"/>
          <w:sz w:val="24"/>
          <w:szCs w:val="24"/>
        </w:rPr>
        <w:t>3</w:t>
      </w:r>
      <w:r w:rsidRPr="00296402">
        <w:rPr>
          <w:rFonts w:ascii="Times New Roman" w:hAnsi="Times New Roman" w:cs="Times New Roman"/>
          <w:sz w:val="24"/>
          <w:szCs w:val="24"/>
        </w:rPr>
        <w:t xml:space="preserve">] Cunningham D, </w:t>
      </w:r>
      <w:proofErr w:type="spellStart"/>
      <w:r w:rsidRPr="00296402">
        <w:rPr>
          <w:rFonts w:ascii="Times New Roman" w:hAnsi="Times New Roman" w:cs="Times New Roman"/>
          <w:sz w:val="24"/>
          <w:szCs w:val="24"/>
        </w:rPr>
        <w:t>Humblet</w:t>
      </w:r>
      <w:proofErr w:type="spellEnd"/>
      <w:r w:rsidRPr="00296402">
        <w:rPr>
          <w:rFonts w:ascii="Times New Roman" w:hAnsi="Times New Roman" w:cs="Times New Roman"/>
          <w:sz w:val="24"/>
          <w:szCs w:val="24"/>
        </w:rPr>
        <w:t xml:space="preserve"> Y, Siena S, Khayat D, Bleiberg H, Santoro A,</w:t>
      </w:r>
      <w:r w:rsidRPr="008F7B17">
        <w:rPr>
          <w:rFonts w:ascii="Times New Roman" w:hAnsi="Times New Roman" w:cs="Times New Roman"/>
          <w:i/>
          <w:iCs/>
          <w:sz w:val="24"/>
          <w:szCs w:val="24"/>
        </w:rPr>
        <w:t xml:space="preserve"> et al</w:t>
      </w:r>
      <w:r w:rsidRPr="00296402">
        <w:rPr>
          <w:rFonts w:ascii="Times New Roman" w:hAnsi="Times New Roman" w:cs="Times New Roman"/>
          <w:sz w:val="24"/>
          <w:szCs w:val="24"/>
        </w:rPr>
        <w:t xml:space="preserve">. Cetuximab monotherapy and cetuximab plus irinotecan in irinotecan-refractory metastatic colorectal cancer. The New England Journal of Medicine. 2004; 351: 337–345. </w:t>
      </w:r>
      <w:hyperlink r:id="rId9" w:history="1">
        <w:r w:rsidRPr="00296402">
          <w:rPr>
            <w:rFonts w:ascii="Times New Roman" w:hAnsi="Times New Roman" w:cs="Times New Roman"/>
            <w:sz w:val="24"/>
            <w:szCs w:val="24"/>
          </w:rPr>
          <w:t>https://doi.org/10.1056/NEJMoa033025</w:t>
        </w:r>
      </w:hyperlink>
      <w:r w:rsidRPr="00296402">
        <w:rPr>
          <w:rFonts w:ascii="Times New Roman" w:hAnsi="Times New Roman" w:cs="Times New Roman"/>
          <w:sz w:val="24"/>
          <w:szCs w:val="24"/>
        </w:rPr>
        <w:t>.</w:t>
      </w:r>
    </w:p>
    <w:p w14:paraId="6702743D" w14:textId="767D2E08" w:rsidR="00E85BB2" w:rsidRDefault="00E85BB2" w:rsidP="00C9290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85BB2">
        <w:rPr>
          <w:rFonts w:ascii="Times New Roman" w:hAnsi="Times New Roman" w:cs="Times New Roman"/>
          <w:sz w:val="24"/>
          <w:szCs w:val="24"/>
        </w:rPr>
        <w:lastRenderedPageBreak/>
        <w:t>[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85BB2">
        <w:rPr>
          <w:rFonts w:ascii="Times New Roman" w:hAnsi="Times New Roman" w:cs="Times New Roman"/>
          <w:sz w:val="24"/>
          <w:szCs w:val="24"/>
        </w:rPr>
        <w:t xml:space="preserve">] Nakamura M, Aoyama T, Ishibashi K, Tsuji A, </w:t>
      </w:r>
      <w:proofErr w:type="spellStart"/>
      <w:r w:rsidRPr="00E85BB2">
        <w:rPr>
          <w:rFonts w:ascii="Times New Roman" w:hAnsi="Times New Roman" w:cs="Times New Roman"/>
          <w:sz w:val="24"/>
          <w:szCs w:val="24"/>
        </w:rPr>
        <w:t>Takinishi</w:t>
      </w:r>
      <w:proofErr w:type="spellEnd"/>
      <w:r w:rsidRPr="00E85BB2">
        <w:rPr>
          <w:rFonts w:ascii="Times New Roman" w:hAnsi="Times New Roman" w:cs="Times New Roman"/>
          <w:sz w:val="24"/>
          <w:szCs w:val="24"/>
        </w:rPr>
        <w:t xml:space="preserve"> Y, </w:t>
      </w:r>
      <w:proofErr w:type="spellStart"/>
      <w:r w:rsidRPr="00E85BB2">
        <w:rPr>
          <w:rFonts w:ascii="Times New Roman" w:hAnsi="Times New Roman" w:cs="Times New Roman"/>
          <w:sz w:val="24"/>
          <w:szCs w:val="24"/>
        </w:rPr>
        <w:t>Shindo</w:t>
      </w:r>
      <w:proofErr w:type="spellEnd"/>
      <w:r w:rsidRPr="00E85BB2">
        <w:rPr>
          <w:rFonts w:ascii="Times New Roman" w:hAnsi="Times New Roman" w:cs="Times New Roman"/>
          <w:sz w:val="24"/>
          <w:szCs w:val="24"/>
        </w:rPr>
        <w:t xml:space="preserve"> Y, </w:t>
      </w:r>
      <w:r w:rsidRPr="008F7B17">
        <w:rPr>
          <w:rFonts w:ascii="Times New Roman" w:hAnsi="Times New Roman" w:cs="Times New Roman"/>
          <w:i/>
          <w:iCs/>
          <w:sz w:val="24"/>
          <w:szCs w:val="24"/>
        </w:rPr>
        <w:t>et al</w:t>
      </w:r>
      <w:r w:rsidRPr="00E85BB2">
        <w:rPr>
          <w:rFonts w:ascii="Times New Roman" w:hAnsi="Times New Roman" w:cs="Times New Roman"/>
          <w:sz w:val="24"/>
          <w:szCs w:val="24"/>
        </w:rPr>
        <w:t>. Randomized phase II study of cetuximab versus irinotecan and cetuximab in patients with chemo-refractory KRAS codon G13D metastatic colorectal cancer (G13D-study). Cancer Chemotherapy and Pharmacology. 2017; 79: 29–36. https://doi.org/10.1007/s00280-016-3203-7.</w:t>
      </w:r>
    </w:p>
    <w:p w14:paraId="30C77096" w14:textId="4DC8E2FD" w:rsidR="008C44FD" w:rsidRPr="00296402" w:rsidRDefault="008C44FD" w:rsidP="00C9290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96402">
        <w:rPr>
          <w:rFonts w:ascii="Times New Roman" w:hAnsi="Times New Roman" w:cs="Times New Roman"/>
          <w:sz w:val="24"/>
          <w:szCs w:val="24"/>
        </w:rPr>
        <w:t>[</w:t>
      </w:r>
      <w:r w:rsidR="00E85BB2">
        <w:rPr>
          <w:rFonts w:ascii="Times New Roman" w:hAnsi="Times New Roman" w:cs="Times New Roman"/>
          <w:sz w:val="24"/>
          <w:szCs w:val="24"/>
        </w:rPr>
        <w:t>5</w:t>
      </w:r>
      <w:r w:rsidRPr="00296402">
        <w:rPr>
          <w:rFonts w:ascii="Times New Roman" w:hAnsi="Times New Roman" w:cs="Times New Roman"/>
          <w:sz w:val="24"/>
          <w:szCs w:val="24"/>
        </w:rPr>
        <w:t xml:space="preserve">] </w:t>
      </w:r>
      <w:proofErr w:type="spellStart"/>
      <w:r w:rsidRPr="00296402">
        <w:rPr>
          <w:rFonts w:ascii="Times New Roman" w:hAnsi="Times New Roman" w:cs="Times New Roman"/>
          <w:sz w:val="24"/>
          <w:szCs w:val="24"/>
        </w:rPr>
        <w:t>Segelov</w:t>
      </w:r>
      <w:proofErr w:type="spellEnd"/>
      <w:r w:rsidRPr="00296402">
        <w:rPr>
          <w:rFonts w:ascii="Times New Roman" w:hAnsi="Times New Roman" w:cs="Times New Roman"/>
          <w:sz w:val="24"/>
          <w:szCs w:val="24"/>
        </w:rPr>
        <w:t xml:space="preserve"> E, </w:t>
      </w:r>
      <w:proofErr w:type="spellStart"/>
      <w:r w:rsidRPr="00296402">
        <w:rPr>
          <w:rFonts w:ascii="Times New Roman" w:hAnsi="Times New Roman" w:cs="Times New Roman"/>
          <w:sz w:val="24"/>
          <w:szCs w:val="24"/>
        </w:rPr>
        <w:t>Thavaneswaran</w:t>
      </w:r>
      <w:proofErr w:type="spellEnd"/>
      <w:r w:rsidRPr="00296402">
        <w:rPr>
          <w:rFonts w:ascii="Times New Roman" w:hAnsi="Times New Roman" w:cs="Times New Roman"/>
          <w:sz w:val="24"/>
          <w:szCs w:val="24"/>
        </w:rPr>
        <w:t xml:space="preserve"> S, Waring PM, Desai J, Robledo KP, </w:t>
      </w:r>
      <w:proofErr w:type="spellStart"/>
      <w:r w:rsidRPr="00296402">
        <w:rPr>
          <w:rFonts w:ascii="Times New Roman" w:hAnsi="Times New Roman" w:cs="Times New Roman"/>
          <w:sz w:val="24"/>
          <w:szCs w:val="24"/>
        </w:rPr>
        <w:t>Gebski</w:t>
      </w:r>
      <w:proofErr w:type="spellEnd"/>
      <w:r w:rsidRPr="00296402">
        <w:rPr>
          <w:rFonts w:ascii="Times New Roman" w:hAnsi="Times New Roman" w:cs="Times New Roman"/>
          <w:sz w:val="24"/>
          <w:szCs w:val="24"/>
        </w:rPr>
        <w:t xml:space="preserve"> VJ, </w:t>
      </w:r>
      <w:r w:rsidRPr="008F7B17">
        <w:rPr>
          <w:rFonts w:ascii="Times New Roman" w:hAnsi="Times New Roman" w:cs="Times New Roman"/>
          <w:i/>
          <w:iCs/>
          <w:sz w:val="24"/>
          <w:szCs w:val="24"/>
        </w:rPr>
        <w:t>et al</w:t>
      </w:r>
      <w:r w:rsidRPr="00296402">
        <w:rPr>
          <w:rFonts w:ascii="Times New Roman" w:hAnsi="Times New Roman" w:cs="Times New Roman"/>
          <w:sz w:val="24"/>
          <w:szCs w:val="24"/>
        </w:rPr>
        <w:t xml:space="preserve">. Response to Cetuximab </w:t>
      </w:r>
      <w:proofErr w:type="gramStart"/>
      <w:r w:rsidRPr="00296402">
        <w:rPr>
          <w:rFonts w:ascii="Times New Roman" w:hAnsi="Times New Roman" w:cs="Times New Roman"/>
          <w:sz w:val="24"/>
          <w:szCs w:val="24"/>
        </w:rPr>
        <w:t>With</w:t>
      </w:r>
      <w:proofErr w:type="gramEnd"/>
      <w:r w:rsidRPr="00296402">
        <w:rPr>
          <w:rFonts w:ascii="Times New Roman" w:hAnsi="Times New Roman" w:cs="Times New Roman"/>
          <w:sz w:val="24"/>
          <w:szCs w:val="24"/>
        </w:rPr>
        <w:t xml:space="preserve"> or Without Irinotecan in Patients With Refractory Metastatic Colorectal Cancer Harboring the KRAS G13D Mutation: Australasian Gastro-Intestinal Trials Group ICECREAM Study. Journal of Clinical Oncology. 2016; 34: 2258–2264. https://doi.org/10. 1200/JCO.2015.65.6843.</w:t>
      </w:r>
    </w:p>
    <w:sectPr w:rsidR="008C44FD" w:rsidRPr="002964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9626A" w14:textId="77777777" w:rsidR="00227395" w:rsidRDefault="00227395" w:rsidP="00107A2A">
      <w:r>
        <w:separator/>
      </w:r>
    </w:p>
  </w:endnote>
  <w:endnote w:type="continuationSeparator" w:id="0">
    <w:p w14:paraId="05C107CD" w14:textId="77777777" w:rsidR="00227395" w:rsidRDefault="00227395" w:rsidP="0010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20CB4" w14:textId="77777777" w:rsidR="00227395" w:rsidRDefault="00227395" w:rsidP="00107A2A">
      <w:r>
        <w:separator/>
      </w:r>
    </w:p>
  </w:footnote>
  <w:footnote w:type="continuationSeparator" w:id="0">
    <w:p w14:paraId="135B97F9" w14:textId="77777777" w:rsidR="00227395" w:rsidRDefault="00227395" w:rsidP="00107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E54DC"/>
    <w:rsid w:val="000507E6"/>
    <w:rsid w:val="00053E4D"/>
    <w:rsid w:val="000E14B9"/>
    <w:rsid w:val="00107A2A"/>
    <w:rsid w:val="001F3728"/>
    <w:rsid w:val="00227395"/>
    <w:rsid w:val="00231397"/>
    <w:rsid w:val="00294E5C"/>
    <w:rsid w:val="00296402"/>
    <w:rsid w:val="003133B8"/>
    <w:rsid w:val="00397CCF"/>
    <w:rsid w:val="003C60A9"/>
    <w:rsid w:val="003E0994"/>
    <w:rsid w:val="004A21A6"/>
    <w:rsid w:val="004A25BC"/>
    <w:rsid w:val="005F36B7"/>
    <w:rsid w:val="00644F9E"/>
    <w:rsid w:val="00645142"/>
    <w:rsid w:val="00750BA0"/>
    <w:rsid w:val="007F64D5"/>
    <w:rsid w:val="008C44FD"/>
    <w:rsid w:val="008F7B17"/>
    <w:rsid w:val="009A7624"/>
    <w:rsid w:val="00BE771C"/>
    <w:rsid w:val="00C3136D"/>
    <w:rsid w:val="00C46056"/>
    <w:rsid w:val="00C92901"/>
    <w:rsid w:val="00CE54DC"/>
    <w:rsid w:val="00D16C07"/>
    <w:rsid w:val="00D271FD"/>
    <w:rsid w:val="00D356D2"/>
    <w:rsid w:val="00DE4B45"/>
    <w:rsid w:val="00E13D4F"/>
    <w:rsid w:val="00E85BB2"/>
    <w:rsid w:val="00F501D6"/>
    <w:rsid w:val="00F5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EE43619"/>
  <w15:chartTrackingRefBased/>
  <w15:docId w15:val="{EBFDB267-26FD-44BB-B284-79511E92B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4B4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E54D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54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54D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54DC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54DC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54DC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54D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54D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54D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E54DC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E54D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E54D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E54DC"/>
    <w:rPr>
      <w:rFonts w:cstheme="majorBidi"/>
      <w:color w:val="365F9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E54DC"/>
    <w:rPr>
      <w:rFonts w:cstheme="majorBidi"/>
      <w:color w:val="365F9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E54DC"/>
    <w:rPr>
      <w:rFonts w:cstheme="majorBidi"/>
      <w:b/>
      <w:bCs/>
      <w:color w:val="365F9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E54D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E54D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E54D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E54D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E54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54D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E54D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E54D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E54D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E54D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E54DC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E54D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E54DC"/>
    <w:rPr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CE54DC"/>
    <w:rPr>
      <w:b/>
      <w:bCs/>
      <w:smallCaps/>
      <w:color w:val="365F9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8C44FD"/>
    <w:rPr>
      <w:color w:val="0000FF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C44FD"/>
    <w:rPr>
      <w:color w:val="605E5C"/>
      <w:shd w:val="clear" w:color="auto" w:fill="E1DFDD"/>
    </w:rPr>
  </w:style>
  <w:style w:type="paragraph" w:styleId="af0">
    <w:name w:val="header"/>
    <w:basedOn w:val="a"/>
    <w:link w:val="af1"/>
    <w:uiPriority w:val="99"/>
    <w:unhideWhenUsed/>
    <w:rsid w:val="00107A2A"/>
    <w:pPr>
      <w:tabs>
        <w:tab w:val="center" w:pos="4320"/>
        <w:tab w:val="right" w:pos="8640"/>
      </w:tabs>
    </w:pPr>
  </w:style>
  <w:style w:type="character" w:customStyle="1" w:styleId="af1">
    <w:name w:val="页眉 字符"/>
    <w:basedOn w:val="a0"/>
    <w:link w:val="af0"/>
    <w:uiPriority w:val="99"/>
    <w:rsid w:val="00107A2A"/>
  </w:style>
  <w:style w:type="paragraph" w:styleId="af2">
    <w:name w:val="footer"/>
    <w:basedOn w:val="a"/>
    <w:link w:val="af3"/>
    <w:uiPriority w:val="99"/>
    <w:unhideWhenUsed/>
    <w:rsid w:val="00107A2A"/>
    <w:pPr>
      <w:tabs>
        <w:tab w:val="center" w:pos="4320"/>
        <w:tab w:val="right" w:pos="8640"/>
      </w:tabs>
    </w:pPr>
  </w:style>
  <w:style w:type="character" w:customStyle="1" w:styleId="af3">
    <w:name w:val="页脚 字符"/>
    <w:basedOn w:val="a0"/>
    <w:link w:val="af2"/>
    <w:uiPriority w:val="99"/>
    <w:rsid w:val="00107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200/JCO.23.01021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doi.org/10.1056/NEJMoa033025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347</Words>
  <Characters>1982</Characters>
  <Application>Microsoft Office Word</Application>
  <DocSecurity>0</DocSecurity>
  <Lines>16</Lines>
  <Paragraphs>4</Paragraphs>
  <ScaleCrop>false</ScaleCrop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汤杨蓝</cp:lastModifiedBy>
  <cp:revision>33</cp:revision>
  <dcterms:created xsi:type="dcterms:W3CDTF">2025-09-26T01:43:00Z</dcterms:created>
  <dcterms:modified xsi:type="dcterms:W3CDTF">2025-10-10T05:56:00Z</dcterms:modified>
</cp:coreProperties>
</file>